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BBD0C" w14:textId="578376DF" w:rsidR="00CC61BA" w:rsidRPr="00CC61BA" w:rsidRDefault="00CC61BA" w:rsidP="00CC61BA">
      <w:pPr>
        <w:rPr>
          <w:b/>
          <w:bCs/>
          <w:sz w:val="30"/>
          <w:szCs w:val="30"/>
        </w:rPr>
      </w:pPr>
      <w:r w:rsidRPr="00CC61BA">
        <w:rPr>
          <w:b/>
          <w:bCs/>
          <w:sz w:val="30"/>
          <w:szCs w:val="30"/>
        </w:rPr>
        <w:t>Summary of Key Issues and Topics to be included in the Guidelines</w:t>
      </w:r>
    </w:p>
    <w:p w14:paraId="43756089" w14:textId="66B9973C" w:rsidR="00CC61BA" w:rsidRDefault="00CC61BA" w:rsidP="00CC61BA">
      <w:r>
        <w:t xml:space="preserve">A </w:t>
      </w:r>
      <w:r w:rsidRPr="0072799E">
        <w:rPr>
          <w:b/>
          <w:bCs/>
        </w:rPr>
        <w:t>full description of the NWMO project</w:t>
      </w:r>
      <w:r>
        <w:t xml:space="preserve"> and related potential impacts must be presented in detail, including all project components (transportation, processing, DGR design and construction, placement of waste underground, monitoring, releases to air and water from all operations, retrievability of the wastes, performance thresholds).</w:t>
      </w:r>
    </w:p>
    <w:p w14:paraId="09053A92" w14:textId="77777777" w:rsidR="00CC61BA" w:rsidRDefault="00CC61BA" w:rsidP="00CC61BA">
      <w:r w:rsidRPr="0072799E">
        <w:rPr>
          <w:b/>
          <w:bCs/>
        </w:rPr>
        <w:t>Alternatives to the project</w:t>
      </w:r>
      <w:r>
        <w:t xml:space="preserve"> (e.g. continued but improved and more secure long-term storage at the reactor stations) must be included and alternative means of carrying out project component activities must be comprehensive and detailed.  </w:t>
      </w:r>
    </w:p>
    <w:p w14:paraId="28A49B81" w14:textId="77777777" w:rsidR="00CC61BA" w:rsidRDefault="00CC61BA" w:rsidP="00CC61BA">
      <w:r w:rsidRPr="009F6FC9">
        <w:rPr>
          <w:b/>
          <w:bCs/>
        </w:rPr>
        <w:t>Long</w:t>
      </w:r>
      <w:r>
        <w:rPr>
          <w:b/>
          <w:bCs/>
        </w:rPr>
        <w:t>-</w:t>
      </w:r>
      <w:r w:rsidRPr="009F6FC9">
        <w:rPr>
          <w:b/>
          <w:bCs/>
        </w:rPr>
        <w:t>distance transportation</w:t>
      </w:r>
      <w:r w:rsidRPr="009F6FC9">
        <w:t xml:space="preserve"> must be fully examined, including related exposures to radioactivity, the design and safety testing of the transportation containers, emergency response, support for First Responders, route selection, and notifications to local authorities.</w:t>
      </w:r>
    </w:p>
    <w:p w14:paraId="4DEE5AA3" w14:textId="77777777" w:rsidR="00CC61BA" w:rsidRDefault="00CC61BA" w:rsidP="00CC61BA">
      <w:r>
        <w:t xml:space="preserve">The </w:t>
      </w:r>
      <w:r w:rsidRPr="0072799E">
        <w:rPr>
          <w:b/>
          <w:bCs/>
        </w:rPr>
        <w:t>long-term safety and performance of the DGR</w:t>
      </w:r>
      <w:r>
        <w:t xml:space="preserve"> / multiple-barrier “concept” must be part of impact assessment, not put off to far-future license applications; the “safety case” must be part of this Impact Assessment Review.</w:t>
      </w:r>
    </w:p>
    <w:p w14:paraId="4C17F096" w14:textId="77777777" w:rsidR="00CC61BA" w:rsidRDefault="00CC61BA" w:rsidP="00CC61BA">
      <w:r>
        <w:t xml:space="preserve">The examination of </w:t>
      </w:r>
      <w:r w:rsidRPr="00A703CA">
        <w:rPr>
          <w:b/>
          <w:bCs/>
        </w:rPr>
        <w:t>social factors</w:t>
      </w:r>
      <w:r>
        <w:t xml:space="preserve"> must include psychological and emotional impacts of the project, including those related to social division and to the methods of seeking </w:t>
      </w:r>
      <w:r w:rsidRPr="00E54945">
        <w:rPr>
          <w:b/>
          <w:bCs/>
        </w:rPr>
        <w:t xml:space="preserve">consent </w:t>
      </w:r>
      <w:r>
        <w:t xml:space="preserve">for the project, including the consent of communities along the transportation route and in proximity to and downstream from the Revell site and </w:t>
      </w:r>
      <w:r w:rsidRPr="00E54945">
        <w:rPr>
          <w:b/>
          <w:bCs/>
        </w:rPr>
        <w:t>the Free, Prior and Informed Consent</w:t>
      </w:r>
      <w:r>
        <w:t xml:space="preserve"> of Indigenous people. </w:t>
      </w:r>
    </w:p>
    <w:p w14:paraId="4D758E5F" w14:textId="77777777" w:rsidR="00CC61BA" w:rsidRDefault="00CC61BA" w:rsidP="00CC61BA">
      <w:r>
        <w:t>The guidelines must direct the production of an impact statement based on</w:t>
      </w:r>
      <w:r w:rsidRPr="00A703CA">
        <w:t xml:space="preserve"> </w:t>
      </w:r>
      <w:r w:rsidRPr="004E48C7">
        <w:rPr>
          <w:b/>
          <w:bCs/>
        </w:rPr>
        <w:t>scientific evidence</w:t>
      </w:r>
      <w:r w:rsidRPr="00A703CA">
        <w:t xml:space="preserve"> and sustainability principles</w:t>
      </w:r>
      <w:r>
        <w:t xml:space="preserve"> and the impact assessment process must be structured to provide a rigorous </w:t>
      </w:r>
      <w:r w:rsidRPr="0072799E">
        <w:rPr>
          <w:b/>
          <w:bCs/>
        </w:rPr>
        <w:t>assessment process rather than an approval process</w:t>
      </w:r>
      <w:r>
        <w:t xml:space="preserve"> with the objective of </w:t>
      </w:r>
      <w:r w:rsidRPr="00A703CA">
        <w:rPr>
          <w:b/>
          <w:bCs/>
        </w:rPr>
        <w:t>prevent</w:t>
      </w:r>
      <w:r>
        <w:rPr>
          <w:b/>
          <w:bCs/>
        </w:rPr>
        <w:t>ing</w:t>
      </w:r>
      <w:r w:rsidRPr="00A703CA">
        <w:rPr>
          <w:b/>
          <w:bCs/>
        </w:rPr>
        <w:t xml:space="preserve"> and</w:t>
      </w:r>
      <w:r>
        <w:t xml:space="preserve"> </w:t>
      </w:r>
      <w:r w:rsidRPr="0072799E">
        <w:rPr>
          <w:b/>
          <w:bCs/>
        </w:rPr>
        <w:t>avoid</w:t>
      </w:r>
      <w:r>
        <w:rPr>
          <w:b/>
          <w:bCs/>
        </w:rPr>
        <w:t>ing</w:t>
      </w:r>
      <w:r w:rsidRPr="0072799E">
        <w:rPr>
          <w:b/>
          <w:bCs/>
        </w:rPr>
        <w:t xml:space="preserve"> impacts</w:t>
      </w:r>
      <w:r>
        <w:t xml:space="preserve"> rather attempting to mitigate them.</w:t>
      </w:r>
    </w:p>
    <w:p w14:paraId="0062BC90" w14:textId="77777777" w:rsidR="004D711C" w:rsidRDefault="004D711C"/>
    <w:p w14:paraId="56B9C4DD" w14:textId="77777777" w:rsidR="00A322ED" w:rsidRPr="00597FB7" w:rsidRDefault="00A322ED" w:rsidP="00A322ED">
      <w:pPr>
        <w:rPr>
          <w:rFonts w:ascii="Times New Roman" w:hAnsi="Times New Roman" w:cs="Times New Roman"/>
        </w:rPr>
      </w:pPr>
      <w:r w:rsidRPr="00597FB7">
        <w:rPr>
          <w:rFonts w:ascii="Times New Roman" w:hAnsi="Times New Roman" w:cs="Times New Roman"/>
        </w:rPr>
        <w:t xml:space="preserve">The following topics and issues were included in comments on the Initial Project Description </w:t>
      </w:r>
      <w:r>
        <w:rPr>
          <w:rFonts w:ascii="Times New Roman" w:hAnsi="Times New Roman" w:cs="Times New Roman"/>
        </w:rPr>
        <w:t xml:space="preserve">and </w:t>
      </w:r>
      <w:r w:rsidRPr="00597FB7">
        <w:rPr>
          <w:rFonts w:ascii="Times New Roman" w:hAnsi="Times New Roman" w:cs="Times New Roman"/>
        </w:rPr>
        <w:t xml:space="preserve">should be </w:t>
      </w:r>
      <w:r>
        <w:rPr>
          <w:rFonts w:ascii="Times New Roman" w:hAnsi="Times New Roman" w:cs="Times New Roman"/>
        </w:rPr>
        <w:t xml:space="preserve">included </w:t>
      </w:r>
      <w:r w:rsidRPr="00597FB7">
        <w:rPr>
          <w:rFonts w:ascii="Times New Roman" w:hAnsi="Times New Roman" w:cs="Times New Roman"/>
        </w:rPr>
        <w:t>in the Integrated Tailored Impact Statement Guidelines (the guidelines)</w:t>
      </w:r>
      <w:r>
        <w:rPr>
          <w:rFonts w:ascii="Times New Roman" w:hAnsi="Times New Roman" w:cs="Times New Roman"/>
        </w:rPr>
        <w:t xml:space="preserve"> as topics which the NWMO must describe in their impact statement:  </w:t>
      </w:r>
    </w:p>
    <w:tbl>
      <w:tblPr>
        <w:tblW w:w="9360" w:type="dxa"/>
        <w:tblInd w:w="-108" w:type="dxa"/>
        <w:tblLook w:val="04A0" w:firstRow="1" w:lastRow="0" w:firstColumn="1" w:lastColumn="0" w:noHBand="0" w:noVBand="1"/>
      </w:tblPr>
      <w:tblGrid>
        <w:gridCol w:w="1560"/>
        <w:gridCol w:w="7800"/>
      </w:tblGrid>
      <w:tr w:rsidR="004D711C" w:rsidRPr="004D711C" w14:paraId="436F51C4" w14:textId="77777777" w:rsidTr="004D711C">
        <w:trPr>
          <w:trHeight w:val="310"/>
        </w:trPr>
        <w:tc>
          <w:tcPr>
            <w:tcW w:w="1560" w:type="dxa"/>
            <w:vMerge w:val="restart"/>
            <w:tcBorders>
              <w:top w:val="nil"/>
              <w:left w:val="nil"/>
              <w:right w:val="nil"/>
            </w:tcBorders>
            <w:noWrap/>
            <w:hideMark/>
          </w:tcPr>
          <w:p w14:paraId="3B37ABB2"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Key</w:t>
            </w:r>
          </w:p>
          <w:p w14:paraId="2A0A5B97" w14:textId="4C7D151B"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A686ECB" w14:textId="38DDDCD1" w:rsidR="004D711C" w:rsidRPr="004D711C" w:rsidRDefault="00CC61BA"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alternatives to the project (such as secure extended long-term storage at the reactor site)</w:t>
            </w:r>
          </w:p>
        </w:tc>
      </w:tr>
      <w:tr w:rsidR="00CC61BA" w:rsidRPr="004D711C" w14:paraId="529A9FBB" w14:textId="77777777" w:rsidTr="004D711C">
        <w:trPr>
          <w:trHeight w:val="310"/>
        </w:trPr>
        <w:tc>
          <w:tcPr>
            <w:tcW w:w="1560" w:type="dxa"/>
            <w:vMerge/>
            <w:tcBorders>
              <w:left w:val="nil"/>
              <w:right w:val="nil"/>
            </w:tcBorders>
            <w:noWrap/>
          </w:tcPr>
          <w:p w14:paraId="0A2DCA9C" w14:textId="77777777" w:rsidR="00CC61BA" w:rsidRPr="004D711C" w:rsidRDefault="00CC61BA"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19C26B49" w14:textId="66207C7E" w:rsidR="00CC61BA" w:rsidRPr="004D711C" w:rsidRDefault="00CC61BA"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4D711C">
              <w:rPr>
                <w:rFonts w:ascii="Times New Roman" w:eastAsia="Symbol" w:hAnsi="Times New Roman" w:cs="Symbol"/>
                <w:color w:val="000000"/>
                <w:kern w:val="0"/>
                <w:lang w:eastAsia="en-CA"/>
                <w14:ligatures w14:val="none"/>
              </w:rPr>
              <w:t>detailed description of major project components and activities, including the Used Fuel Packaging Plant, waste placement and repository design and construction and closure, decommissioning and monitoring.</w:t>
            </w:r>
          </w:p>
        </w:tc>
      </w:tr>
      <w:tr w:rsidR="00CC61BA" w:rsidRPr="004D711C" w14:paraId="51F36BFC" w14:textId="77777777" w:rsidTr="004D711C">
        <w:trPr>
          <w:trHeight w:val="310"/>
        </w:trPr>
        <w:tc>
          <w:tcPr>
            <w:tcW w:w="1560" w:type="dxa"/>
            <w:vMerge/>
            <w:tcBorders>
              <w:left w:val="nil"/>
              <w:right w:val="nil"/>
            </w:tcBorders>
            <w:noWrap/>
          </w:tcPr>
          <w:p w14:paraId="4D7F8938" w14:textId="77777777" w:rsidR="00CC61BA" w:rsidRPr="004D711C" w:rsidRDefault="00CC61BA" w:rsidP="00CC61BA">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30C007AE" w14:textId="1DFD4EC3" w:rsidR="00CC61BA" w:rsidRPr="004D711C" w:rsidRDefault="00CC61BA" w:rsidP="00CC61BA">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the need and purpose for the project</w:t>
            </w:r>
          </w:p>
        </w:tc>
      </w:tr>
      <w:tr w:rsidR="00CC61BA" w:rsidRPr="004D711C" w14:paraId="6F05FE9D" w14:textId="77777777" w:rsidTr="004D711C">
        <w:trPr>
          <w:trHeight w:val="310"/>
        </w:trPr>
        <w:tc>
          <w:tcPr>
            <w:tcW w:w="1560" w:type="dxa"/>
            <w:vMerge/>
            <w:tcBorders>
              <w:left w:val="nil"/>
              <w:right w:val="nil"/>
            </w:tcBorders>
            <w:noWrap/>
            <w:hideMark/>
          </w:tcPr>
          <w:p w14:paraId="66D65361" w14:textId="1DC61D13" w:rsidR="00CC61BA" w:rsidRPr="004D711C" w:rsidRDefault="00CC61BA" w:rsidP="00CC61BA">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749A32E" w14:textId="19C3549A" w:rsidR="00CC61BA" w:rsidRPr="004D711C" w:rsidRDefault="00CC61BA" w:rsidP="00CC61BA">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the potential effects of the project </w:t>
            </w:r>
          </w:p>
        </w:tc>
      </w:tr>
      <w:tr w:rsidR="00CC61BA" w:rsidRPr="004D711C" w14:paraId="2FA0050E" w14:textId="77777777" w:rsidTr="004D711C">
        <w:trPr>
          <w:trHeight w:val="310"/>
        </w:trPr>
        <w:tc>
          <w:tcPr>
            <w:tcW w:w="1560" w:type="dxa"/>
            <w:vMerge/>
            <w:tcBorders>
              <w:left w:val="nil"/>
              <w:right w:val="nil"/>
            </w:tcBorders>
            <w:noWrap/>
          </w:tcPr>
          <w:p w14:paraId="7C4C40BB" w14:textId="77777777" w:rsidR="00CC61BA" w:rsidRPr="004D711C" w:rsidRDefault="00CC61BA"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145C2FBC" w14:textId="3FE61AF1" w:rsidR="00CC61BA" w:rsidRPr="004D711C" w:rsidRDefault="00CC61BA"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4D711C">
              <w:rPr>
                <w:rFonts w:ascii="Times New Roman" w:eastAsia="Symbol" w:hAnsi="Times New Roman" w:cs="Symbol"/>
                <w:color w:val="000000"/>
                <w:kern w:val="0"/>
                <w:lang w:eastAsia="en-CA"/>
                <w14:ligatures w14:val="none"/>
              </w:rPr>
              <w:t>alternatives in waste emplacement (in-room vs in-floor)</w:t>
            </w:r>
          </w:p>
        </w:tc>
      </w:tr>
      <w:tr w:rsidR="00CC61BA" w:rsidRPr="004D711C" w14:paraId="26007576" w14:textId="77777777" w:rsidTr="004D711C">
        <w:trPr>
          <w:trHeight w:val="310"/>
        </w:trPr>
        <w:tc>
          <w:tcPr>
            <w:tcW w:w="1560" w:type="dxa"/>
            <w:vMerge/>
            <w:tcBorders>
              <w:left w:val="nil"/>
              <w:right w:val="nil"/>
            </w:tcBorders>
            <w:noWrap/>
          </w:tcPr>
          <w:p w14:paraId="6D052E2F" w14:textId="77777777" w:rsidR="00CC61BA" w:rsidRPr="004D711C" w:rsidRDefault="00CC61BA"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7AC9AD0B" w14:textId="79A47261" w:rsidR="00CC61BA" w:rsidRPr="004D711C" w:rsidRDefault="00CC61BA"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4D711C">
              <w:rPr>
                <w:rFonts w:ascii="Times New Roman" w:eastAsia="Symbol" w:hAnsi="Times New Roman" w:cs="Symbol"/>
                <w:color w:val="000000"/>
                <w:kern w:val="0"/>
                <w:lang w:eastAsia="en-CA"/>
                <w14:ligatures w14:val="none"/>
              </w:rPr>
              <w:t>alternatives in used fuel container design</w:t>
            </w:r>
          </w:p>
        </w:tc>
      </w:tr>
      <w:tr w:rsidR="004D711C" w:rsidRPr="004D711C" w14:paraId="376CF7C3" w14:textId="77777777" w:rsidTr="004D711C">
        <w:trPr>
          <w:trHeight w:val="310"/>
        </w:trPr>
        <w:tc>
          <w:tcPr>
            <w:tcW w:w="1560" w:type="dxa"/>
            <w:vMerge/>
            <w:tcBorders>
              <w:left w:val="nil"/>
              <w:right w:val="nil"/>
            </w:tcBorders>
            <w:noWrap/>
            <w:hideMark/>
          </w:tcPr>
          <w:p w14:paraId="5405C43F" w14:textId="020D1749"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C467E6C" w14:textId="7CDE5C32"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w:t>
            </w:r>
            <w:r w:rsidRPr="004D711C">
              <w:rPr>
                <w:rFonts w:ascii="Times New Roman" w:eastAsia="Symbol" w:hAnsi="Times New Roman" w:cs="Symbol"/>
                <w:color w:val="000000"/>
                <w:kern w:val="0"/>
                <w:lang w:eastAsia="en-CA"/>
                <w14:ligatures w14:val="none"/>
              </w:rPr>
              <w:t xml:space="preserve">ite topography and variability, including in relation to design and layout of surface facilities </w:t>
            </w:r>
          </w:p>
        </w:tc>
      </w:tr>
      <w:tr w:rsidR="004D711C" w:rsidRPr="004D711C" w14:paraId="592810DB" w14:textId="77777777" w:rsidTr="004D711C">
        <w:trPr>
          <w:trHeight w:val="310"/>
        </w:trPr>
        <w:tc>
          <w:tcPr>
            <w:tcW w:w="1560" w:type="dxa"/>
            <w:vMerge/>
            <w:tcBorders>
              <w:left w:val="nil"/>
              <w:right w:val="nil"/>
            </w:tcBorders>
            <w:noWrap/>
            <w:hideMark/>
          </w:tcPr>
          <w:p w14:paraId="6A69B77F" w14:textId="38ED26B1"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4B18429" w14:textId="5244C69B"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t</w:t>
            </w:r>
            <w:r w:rsidRPr="004D711C">
              <w:rPr>
                <w:rFonts w:ascii="Times New Roman" w:eastAsia="Symbol" w:hAnsi="Times New Roman" w:cs="Symbol"/>
                <w:color w:val="000000"/>
                <w:kern w:val="0"/>
                <w:lang w:eastAsia="en-CA"/>
                <w14:ligatures w14:val="none"/>
              </w:rPr>
              <w:t>he description of the Project Site, Location and Study Area(s) with clear spatial delineation</w:t>
            </w:r>
          </w:p>
        </w:tc>
      </w:tr>
      <w:tr w:rsidR="004D711C" w:rsidRPr="004D711C" w14:paraId="2D577763" w14:textId="77777777" w:rsidTr="004D711C">
        <w:trPr>
          <w:trHeight w:val="310"/>
        </w:trPr>
        <w:tc>
          <w:tcPr>
            <w:tcW w:w="1560" w:type="dxa"/>
            <w:vMerge w:val="restart"/>
            <w:tcBorders>
              <w:top w:val="nil"/>
              <w:left w:val="nil"/>
              <w:right w:val="nil"/>
            </w:tcBorders>
            <w:noWrap/>
            <w:hideMark/>
          </w:tcPr>
          <w:p w14:paraId="72C3CB38"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DGR</w:t>
            </w:r>
          </w:p>
          <w:p w14:paraId="51D16612" w14:textId="7CA7B0E9"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945944F" w14:textId="6A777C70"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impact of the repository on recreational access in the area</w:t>
            </w:r>
          </w:p>
        </w:tc>
      </w:tr>
      <w:tr w:rsidR="004D711C" w:rsidRPr="004D711C" w14:paraId="0F003A01" w14:textId="77777777" w:rsidTr="004D711C">
        <w:trPr>
          <w:trHeight w:val="310"/>
        </w:trPr>
        <w:tc>
          <w:tcPr>
            <w:tcW w:w="1560" w:type="dxa"/>
            <w:vMerge/>
            <w:tcBorders>
              <w:left w:val="nil"/>
              <w:right w:val="nil"/>
            </w:tcBorders>
            <w:noWrap/>
            <w:hideMark/>
          </w:tcPr>
          <w:p w14:paraId="0F8BDEE5" w14:textId="47E68D3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3F2A713" w14:textId="3FF53BF6"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the discussion of accident scenarios in the deep geological repository should include but not be limited to accidents related to shaft failure, including shaft failures while transporting used nuclear fuel and the potential for damage to the fuel container, and the risks and means of carrying out repairs to the package</w:t>
            </w:r>
          </w:p>
        </w:tc>
      </w:tr>
      <w:tr w:rsidR="004D711C" w:rsidRPr="004D711C" w14:paraId="70D40F97" w14:textId="77777777" w:rsidTr="004D711C">
        <w:trPr>
          <w:trHeight w:val="310"/>
        </w:trPr>
        <w:tc>
          <w:tcPr>
            <w:tcW w:w="1560" w:type="dxa"/>
            <w:vMerge/>
            <w:tcBorders>
              <w:left w:val="nil"/>
              <w:right w:val="nil"/>
            </w:tcBorders>
            <w:noWrap/>
            <w:hideMark/>
          </w:tcPr>
          <w:p w14:paraId="16BDF163" w14:textId="6B26662F"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FE21F36" w14:textId="3C2E4925"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the discussion of accident scenarios in the deep geological repository should include but not be limited to the behaviour of bentonite in fire conditions and the risks and means of carrying out fire suppression involving bentonite blocks or fill material</w:t>
            </w:r>
          </w:p>
        </w:tc>
      </w:tr>
      <w:tr w:rsidR="004D711C" w:rsidRPr="004D711C" w14:paraId="351845DE" w14:textId="77777777" w:rsidTr="004D711C">
        <w:trPr>
          <w:trHeight w:val="310"/>
        </w:trPr>
        <w:tc>
          <w:tcPr>
            <w:tcW w:w="1560" w:type="dxa"/>
            <w:vMerge/>
            <w:tcBorders>
              <w:left w:val="nil"/>
              <w:right w:val="nil"/>
            </w:tcBorders>
            <w:noWrap/>
            <w:hideMark/>
          </w:tcPr>
          <w:p w14:paraId="1266FDCF" w14:textId="22A0F22F"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4239BAF" w14:textId="089AB7BF"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the discussion of accident scenarios in the deep geological repository should include but not be limited to vehicle fires, and the risks and means of carrying out fire suppression activities in the underground environment</w:t>
            </w:r>
          </w:p>
        </w:tc>
      </w:tr>
      <w:tr w:rsidR="004D711C" w:rsidRPr="004D711C" w14:paraId="19549A6B" w14:textId="77777777" w:rsidTr="004D711C">
        <w:trPr>
          <w:trHeight w:val="310"/>
        </w:trPr>
        <w:tc>
          <w:tcPr>
            <w:tcW w:w="1560" w:type="dxa"/>
            <w:vMerge/>
            <w:tcBorders>
              <w:left w:val="nil"/>
              <w:right w:val="nil"/>
            </w:tcBorders>
            <w:noWrap/>
            <w:hideMark/>
          </w:tcPr>
          <w:p w14:paraId="7F3D1F73" w14:textId="306D566A"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6EC7BC1"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dewatering (and pumping to surface) that will be required in the repository and the quality and management of the pumped water</w:t>
            </w:r>
          </w:p>
        </w:tc>
      </w:tr>
      <w:tr w:rsidR="004D711C" w:rsidRPr="004D711C" w14:paraId="165AC9C0" w14:textId="77777777" w:rsidTr="004D711C">
        <w:trPr>
          <w:trHeight w:val="310"/>
        </w:trPr>
        <w:tc>
          <w:tcPr>
            <w:tcW w:w="1560" w:type="dxa"/>
            <w:vMerge/>
            <w:tcBorders>
              <w:left w:val="nil"/>
              <w:right w:val="nil"/>
            </w:tcBorders>
            <w:noWrap/>
            <w:hideMark/>
          </w:tcPr>
          <w:p w14:paraId="5DB4C5A6" w14:textId="021D6B9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B0F55C8"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monitoring program for the placement rooms needs to be described in much more detail</w:t>
            </w:r>
          </w:p>
        </w:tc>
      </w:tr>
      <w:tr w:rsidR="004D711C" w:rsidRPr="004D711C" w14:paraId="5B64014D" w14:textId="77777777" w:rsidTr="004D711C">
        <w:trPr>
          <w:trHeight w:val="310"/>
        </w:trPr>
        <w:tc>
          <w:tcPr>
            <w:tcW w:w="1560" w:type="dxa"/>
            <w:vMerge/>
            <w:tcBorders>
              <w:left w:val="nil"/>
              <w:right w:val="nil"/>
            </w:tcBorders>
            <w:noWrap/>
            <w:hideMark/>
          </w:tcPr>
          <w:p w14:paraId="33FA9A66" w14:textId="77098B1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002181E"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precedents or operating experience for deep geological repositories for high-level nuclear waste</w:t>
            </w:r>
          </w:p>
        </w:tc>
      </w:tr>
      <w:tr w:rsidR="004D711C" w:rsidRPr="004D711C" w14:paraId="4C93AD85" w14:textId="77777777" w:rsidTr="004D711C">
        <w:trPr>
          <w:trHeight w:val="310"/>
        </w:trPr>
        <w:tc>
          <w:tcPr>
            <w:tcW w:w="1560" w:type="dxa"/>
            <w:vMerge/>
            <w:tcBorders>
              <w:left w:val="nil"/>
              <w:right w:val="nil"/>
            </w:tcBorders>
            <w:noWrap/>
            <w:hideMark/>
          </w:tcPr>
          <w:p w14:paraId="2692CEFA" w14:textId="459668F2"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91B04CA"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systems for underground ventilation and filtering, including during normal operations or under upset conditions</w:t>
            </w:r>
          </w:p>
        </w:tc>
      </w:tr>
      <w:tr w:rsidR="004D711C" w:rsidRPr="004D711C" w14:paraId="29B09AE3" w14:textId="77777777" w:rsidTr="004D711C">
        <w:trPr>
          <w:trHeight w:val="310"/>
        </w:trPr>
        <w:tc>
          <w:tcPr>
            <w:tcW w:w="1560" w:type="dxa"/>
            <w:vMerge/>
            <w:tcBorders>
              <w:left w:val="nil"/>
              <w:right w:val="nil"/>
            </w:tcBorders>
            <w:noWrap/>
            <w:hideMark/>
          </w:tcPr>
          <w:p w14:paraId="5874B5FC" w14:textId="07022B4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0766941"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the discussion of accident scenarios in the deep geological repository should include but not be limited to vehicle accidents and vehicle damages and repairs, and the risks and means of carrying out repairs to vehicles and other transport equipment in the underground environment</w:t>
            </w:r>
          </w:p>
        </w:tc>
      </w:tr>
      <w:tr w:rsidR="004D711C" w:rsidRPr="004D711C" w14:paraId="37EB2F1A" w14:textId="77777777" w:rsidTr="004D711C">
        <w:trPr>
          <w:trHeight w:val="310"/>
        </w:trPr>
        <w:tc>
          <w:tcPr>
            <w:tcW w:w="1560" w:type="dxa"/>
            <w:vMerge/>
            <w:tcBorders>
              <w:left w:val="nil"/>
              <w:bottom w:val="nil"/>
              <w:right w:val="nil"/>
            </w:tcBorders>
            <w:noWrap/>
            <w:hideMark/>
          </w:tcPr>
          <w:p w14:paraId="7732B9BF" w14:textId="483F7F7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00CD8EF"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the impact of the repository on fisheries and wildlife </w:t>
            </w:r>
          </w:p>
        </w:tc>
      </w:tr>
      <w:tr w:rsidR="004D711C" w:rsidRPr="004D711C" w14:paraId="3CBA2479" w14:textId="77777777" w:rsidTr="004D711C">
        <w:trPr>
          <w:trHeight w:val="310"/>
        </w:trPr>
        <w:tc>
          <w:tcPr>
            <w:tcW w:w="1560" w:type="dxa"/>
            <w:vMerge w:val="restart"/>
            <w:tcBorders>
              <w:top w:val="nil"/>
              <w:left w:val="nil"/>
              <w:right w:val="nil"/>
            </w:tcBorders>
            <w:noWrap/>
            <w:hideMark/>
          </w:tcPr>
          <w:p w14:paraId="246A6DEE"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Economic</w:t>
            </w:r>
          </w:p>
          <w:p w14:paraId="547AD009" w14:textId="47FA5964"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68BD013" w14:textId="27BC185F"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w:t>
            </w:r>
            <w:r w:rsidRPr="004D711C">
              <w:rPr>
                <w:rFonts w:ascii="Times New Roman" w:eastAsia="Symbol" w:hAnsi="Times New Roman" w:cs="Symbol"/>
                <w:color w:val="000000"/>
                <w:kern w:val="0"/>
                <w:lang w:eastAsia="en-CA"/>
                <w14:ligatures w14:val="none"/>
              </w:rPr>
              <w:t>tigma effect on food producers</w:t>
            </w:r>
          </w:p>
        </w:tc>
      </w:tr>
      <w:tr w:rsidR="004D711C" w:rsidRPr="004D711C" w14:paraId="40206765" w14:textId="77777777" w:rsidTr="004D711C">
        <w:trPr>
          <w:trHeight w:val="310"/>
        </w:trPr>
        <w:tc>
          <w:tcPr>
            <w:tcW w:w="1560" w:type="dxa"/>
            <w:vMerge/>
            <w:tcBorders>
              <w:left w:val="nil"/>
              <w:bottom w:val="nil"/>
              <w:right w:val="nil"/>
            </w:tcBorders>
            <w:noWrap/>
            <w:hideMark/>
          </w:tcPr>
          <w:p w14:paraId="4C15F8F1" w14:textId="326694E2"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1FC1E3B" w14:textId="6FF8773F"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w:t>
            </w:r>
            <w:r w:rsidRPr="004D711C">
              <w:rPr>
                <w:rFonts w:ascii="Times New Roman" w:eastAsia="Symbol" w:hAnsi="Times New Roman" w:cs="Symbol"/>
                <w:color w:val="000000"/>
                <w:kern w:val="0"/>
                <w:lang w:eastAsia="en-CA"/>
                <w14:ligatures w14:val="none"/>
              </w:rPr>
              <w:t>tigma effect on tourism sector</w:t>
            </w:r>
          </w:p>
        </w:tc>
      </w:tr>
      <w:tr w:rsidR="004D711C" w:rsidRPr="004D711C" w14:paraId="4BA726B2" w14:textId="77777777" w:rsidTr="004D711C">
        <w:trPr>
          <w:trHeight w:val="310"/>
        </w:trPr>
        <w:tc>
          <w:tcPr>
            <w:tcW w:w="1560" w:type="dxa"/>
            <w:vMerge w:val="restart"/>
            <w:tcBorders>
              <w:top w:val="nil"/>
              <w:left w:val="nil"/>
              <w:right w:val="nil"/>
            </w:tcBorders>
            <w:noWrap/>
            <w:hideMark/>
          </w:tcPr>
          <w:p w14:paraId="29EC6F95"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Geology</w:t>
            </w:r>
          </w:p>
          <w:p w14:paraId="362B5CBE" w14:textId="38D9A28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891C7B4" w14:textId="3FAE1F5C"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 xml:space="preserve">geoscientific verification plan, and its independent oversight </w:t>
            </w:r>
          </w:p>
        </w:tc>
      </w:tr>
      <w:tr w:rsidR="004D711C" w:rsidRPr="004D711C" w14:paraId="035F51AB" w14:textId="77777777" w:rsidTr="004D711C">
        <w:trPr>
          <w:trHeight w:val="310"/>
        </w:trPr>
        <w:tc>
          <w:tcPr>
            <w:tcW w:w="1560" w:type="dxa"/>
            <w:vMerge/>
            <w:tcBorders>
              <w:left w:val="nil"/>
              <w:right w:val="nil"/>
            </w:tcBorders>
            <w:noWrap/>
            <w:hideMark/>
          </w:tcPr>
          <w:p w14:paraId="6684607D" w14:textId="4EBC53E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F7695D7" w14:textId="4CE6C910"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 xml:space="preserve">the potential for acid mine drainage and metal leaching from the excavated rock </w:t>
            </w:r>
          </w:p>
        </w:tc>
      </w:tr>
      <w:tr w:rsidR="004D711C" w:rsidRPr="004D711C" w14:paraId="52CB275A" w14:textId="77777777" w:rsidTr="004D711C">
        <w:trPr>
          <w:trHeight w:val="310"/>
        </w:trPr>
        <w:tc>
          <w:tcPr>
            <w:tcW w:w="1560" w:type="dxa"/>
            <w:vMerge/>
            <w:tcBorders>
              <w:left w:val="nil"/>
              <w:bottom w:val="nil"/>
              <w:right w:val="nil"/>
            </w:tcBorders>
            <w:noWrap/>
            <w:hideMark/>
          </w:tcPr>
          <w:p w14:paraId="7ACCCAA2" w14:textId="50594048"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D86ADED"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excavation damage zones including relationship to migration rates from repositor and methods to minimize EDZ during repository, tunnel and emplacement room excavation</w:t>
            </w:r>
          </w:p>
        </w:tc>
      </w:tr>
      <w:tr w:rsidR="004D711C" w:rsidRPr="004D711C" w14:paraId="10DFA41E" w14:textId="77777777" w:rsidTr="004D711C">
        <w:trPr>
          <w:trHeight w:val="310"/>
        </w:trPr>
        <w:tc>
          <w:tcPr>
            <w:tcW w:w="1560" w:type="dxa"/>
            <w:vMerge w:val="restart"/>
            <w:tcBorders>
              <w:top w:val="nil"/>
              <w:left w:val="nil"/>
              <w:right w:val="nil"/>
            </w:tcBorders>
            <w:noWrap/>
            <w:hideMark/>
          </w:tcPr>
          <w:p w14:paraId="51C11BF0" w14:textId="46E14C0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lastRenderedPageBreak/>
              <w:t>Health</w:t>
            </w:r>
          </w:p>
          <w:p w14:paraId="56B181C2" w14:textId="2161A63A"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2CBD60D" w14:textId="680AD5D4"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detailed human health risk assessment</w:t>
            </w:r>
          </w:p>
        </w:tc>
      </w:tr>
      <w:tr w:rsidR="004D711C" w:rsidRPr="004D711C" w14:paraId="282245B5" w14:textId="77777777" w:rsidTr="004D711C">
        <w:trPr>
          <w:trHeight w:val="310"/>
        </w:trPr>
        <w:tc>
          <w:tcPr>
            <w:tcW w:w="1560" w:type="dxa"/>
            <w:vMerge/>
            <w:tcBorders>
              <w:left w:val="nil"/>
              <w:right w:val="nil"/>
            </w:tcBorders>
            <w:noWrap/>
            <w:hideMark/>
          </w:tcPr>
          <w:p w14:paraId="6EA7BBE2" w14:textId="5E85E578"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3DFB4A7" w14:textId="2D500200"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 xml:space="preserve">human receptors in proximity to the site and factors considered in their selection (for example, distance, meteorological conditions, surface of groundwater flow, etc.) </w:t>
            </w:r>
          </w:p>
        </w:tc>
      </w:tr>
      <w:tr w:rsidR="004D711C" w:rsidRPr="004D711C" w14:paraId="28492563" w14:textId="77777777" w:rsidTr="004D711C">
        <w:trPr>
          <w:trHeight w:val="310"/>
        </w:trPr>
        <w:tc>
          <w:tcPr>
            <w:tcW w:w="1560" w:type="dxa"/>
            <w:vMerge/>
            <w:tcBorders>
              <w:left w:val="nil"/>
              <w:right w:val="nil"/>
            </w:tcBorders>
            <w:noWrap/>
            <w:hideMark/>
          </w:tcPr>
          <w:p w14:paraId="45D8FED4" w14:textId="5A57DD2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0B4EF32" w14:textId="1EE029BC"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 xml:space="preserve">occupational health and safety, worker exposures  </w:t>
            </w:r>
          </w:p>
        </w:tc>
      </w:tr>
      <w:tr w:rsidR="004D711C" w:rsidRPr="004D711C" w14:paraId="4FAB5B69" w14:textId="77777777" w:rsidTr="004D711C">
        <w:trPr>
          <w:trHeight w:val="310"/>
        </w:trPr>
        <w:tc>
          <w:tcPr>
            <w:tcW w:w="1560" w:type="dxa"/>
            <w:vMerge/>
            <w:tcBorders>
              <w:left w:val="nil"/>
              <w:right w:val="nil"/>
            </w:tcBorders>
            <w:noWrap/>
            <w:hideMark/>
          </w:tcPr>
          <w:p w14:paraId="192C00BD" w14:textId="377C66F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82507DC"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a detailed discussion of risks to workers in a section on occupational health and safety</w:t>
            </w:r>
          </w:p>
        </w:tc>
      </w:tr>
      <w:tr w:rsidR="004D711C" w:rsidRPr="004D711C" w14:paraId="2259BFD6" w14:textId="77777777" w:rsidTr="004D711C">
        <w:trPr>
          <w:trHeight w:val="310"/>
        </w:trPr>
        <w:tc>
          <w:tcPr>
            <w:tcW w:w="1560" w:type="dxa"/>
            <w:vMerge/>
            <w:tcBorders>
              <w:left w:val="nil"/>
              <w:right w:val="nil"/>
            </w:tcBorders>
            <w:noWrap/>
            <w:hideMark/>
          </w:tcPr>
          <w:p w14:paraId="7BDEB8D6" w14:textId="2DB4D3E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2A65E6F3" w14:textId="35D857E0"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h</w:t>
            </w:r>
            <w:r w:rsidRPr="004D711C">
              <w:rPr>
                <w:rFonts w:ascii="Times New Roman" w:eastAsia="Symbol" w:hAnsi="Times New Roman" w:cs="Symbol"/>
                <w:color w:val="000000"/>
                <w:kern w:val="0"/>
                <w:lang w:eastAsia="en-CA"/>
                <w14:ligatures w14:val="none"/>
              </w:rPr>
              <w:t xml:space="preserve">uman health and radiological risks; a complete human </w:t>
            </w:r>
            <w:proofErr w:type="gramStart"/>
            <w:r w:rsidRPr="004D711C">
              <w:rPr>
                <w:rFonts w:ascii="Times New Roman" w:eastAsia="Symbol" w:hAnsi="Times New Roman" w:cs="Symbol"/>
                <w:color w:val="000000"/>
                <w:kern w:val="0"/>
                <w:lang w:eastAsia="en-CA"/>
                <w14:ligatures w14:val="none"/>
              </w:rPr>
              <w:t>health  risk</w:t>
            </w:r>
            <w:proofErr w:type="gramEnd"/>
            <w:r w:rsidRPr="004D711C">
              <w:rPr>
                <w:rFonts w:ascii="Times New Roman" w:eastAsia="Symbol" w:hAnsi="Times New Roman" w:cs="Symbol"/>
                <w:color w:val="000000"/>
                <w:kern w:val="0"/>
                <w:lang w:eastAsia="en-CA"/>
                <w14:ligatures w14:val="none"/>
              </w:rPr>
              <w:t xml:space="preserve"> assessment must be carried out for each of the project operation stages</w:t>
            </w:r>
          </w:p>
        </w:tc>
      </w:tr>
      <w:tr w:rsidR="004D711C" w:rsidRPr="004D711C" w14:paraId="201354B7" w14:textId="77777777" w:rsidTr="004D711C">
        <w:trPr>
          <w:trHeight w:val="310"/>
        </w:trPr>
        <w:tc>
          <w:tcPr>
            <w:tcW w:w="1560" w:type="dxa"/>
            <w:vMerge/>
            <w:tcBorders>
              <w:left w:val="nil"/>
              <w:bottom w:val="nil"/>
              <w:right w:val="nil"/>
            </w:tcBorders>
            <w:noWrap/>
            <w:hideMark/>
          </w:tcPr>
          <w:p w14:paraId="68213A20" w14:textId="0FF18F16"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5DBFBF1B" w14:textId="2014A5CD"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p</w:t>
            </w:r>
            <w:r w:rsidRPr="004D711C">
              <w:rPr>
                <w:rFonts w:ascii="Times New Roman" w:eastAsia="Symbol" w:hAnsi="Times New Roman" w:cs="Symbol"/>
                <w:color w:val="000000"/>
                <w:kern w:val="0"/>
                <w:lang w:eastAsia="en-CA"/>
                <w14:ligatures w14:val="none"/>
              </w:rPr>
              <w:t xml:space="preserve">rotection of human health </w:t>
            </w:r>
          </w:p>
        </w:tc>
      </w:tr>
      <w:tr w:rsidR="004D711C" w:rsidRPr="004D711C" w14:paraId="431FC77D" w14:textId="77777777" w:rsidTr="004D711C">
        <w:trPr>
          <w:trHeight w:val="310"/>
        </w:trPr>
        <w:tc>
          <w:tcPr>
            <w:tcW w:w="1560" w:type="dxa"/>
            <w:vMerge w:val="restart"/>
            <w:tcBorders>
              <w:top w:val="nil"/>
              <w:left w:val="nil"/>
              <w:right w:val="nil"/>
            </w:tcBorders>
            <w:noWrap/>
            <w:hideMark/>
          </w:tcPr>
          <w:p w14:paraId="26FBA929"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roofErr w:type="gramStart"/>
            <w:r w:rsidRPr="004D711C">
              <w:rPr>
                <w:rFonts w:ascii="Aptos Narrow" w:eastAsia="Times New Roman" w:hAnsi="Aptos Narrow" w:cs="Times New Roman"/>
                <w:b/>
                <w:bCs/>
                <w:color w:val="000000"/>
                <w:kern w:val="0"/>
                <w:sz w:val="22"/>
                <w:szCs w:val="22"/>
                <w:lang w:eastAsia="en-CA"/>
                <w14:ligatures w14:val="none"/>
              </w:rPr>
              <w:t>Radiological  Releases</w:t>
            </w:r>
            <w:proofErr w:type="gramEnd"/>
          </w:p>
          <w:p w14:paraId="20A5A528" w14:textId="60D6B6A6"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DBDBD9C"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reporting systems through which all releases and movement of radionuclides within and beyond the surface facilities will be reported; the description should included details of both real-time reporting (from continuous monitoring) and daily, weekly, quarterly and annual reporting of average, mean and the maximum releases</w:t>
            </w:r>
          </w:p>
        </w:tc>
      </w:tr>
      <w:tr w:rsidR="004D711C" w:rsidRPr="004D711C" w14:paraId="6706D952" w14:textId="77777777" w:rsidTr="004D711C">
        <w:trPr>
          <w:trHeight w:val="310"/>
        </w:trPr>
        <w:tc>
          <w:tcPr>
            <w:tcW w:w="1560" w:type="dxa"/>
            <w:vMerge/>
            <w:tcBorders>
              <w:left w:val="nil"/>
              <w:bottom w:val="nil"/>
              <w:right w:val="nil"/>
            </w:tcBorders>
            <w:noWrap/>
            <w:hideMark/>
          </w:tcPr>
          <w:p w14:paraId="3534DAA1" w14:textId="49BB06AB"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7B4329F" w14:textId="7855001D"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responses to any movement of radionuclides beyond the site perimeter (the </w:t>
            </w:r>
            <w:r w:rsidRPr="004D711C">
              <w:rPr>
                <w:rFonts w:ascii="Times New Roman" w:eastAsia="Symbol" w:hAnsi="Times New Roman" w:cs="Symbol"/>
                <w:color w:val="000000"/>
                <w:kern w:val="0"/>
                <w:lang w:eastAsia="en-CA"/>
                <w14:ligatures w14:val="none"/>
              </w:rPr>
              <w:t>perimeter</w:t>
            </w:r>
            <w:r w:rsidRPr="004D711C">
              <w:rPr>
                <w:rFonts w:ascii="Times New Roman" w:eastAsia="Symbol" w:hAnsi="Times New Roman" w:cs="Symbol"/>
                <w:color w:val="000000"/>
                <w:kern w:val="0"/>
                <w:lang w:eastAsia="en-CA"/>
                <w14:ligatures w14:val="none"/>
              </w:rPr>
              <w:t xml:space="preserve"> around the surface facilities including retention, stormwater and settling ponds); this should include detection and monitoring and response and remediation measures should the movement of radionuclides beyond the immediate site permitter be detected</w:t>
            </w:r>
          </w:p>
        </w:tc>
      </w:tr>
      <w:tr w:rsidR="004D711C" w:rsidRPr="004D711C" w14:paraId="148A79D7" w14:textId="77777777" w:rsidTr="004D711C">
        <w:trPr>
          <w:trHeight w:val="310"/>
        </w:trPr>
        <w:tc>
          <w:tcPr>
            <w:tcW w:w="1560" w:type="dxa"/>
            <w:vMerge w:val="restart"/>
            <w:tcBorders>
              <w:top w:val="nil"/>
              <w:left w:val="nil"/>
              <w:right w:val="nil"/>
            </w:tcBorders>
            <w:noWrap/>
            <w:hideMark/>
          </w:tcPr>
          <w:p w14:paraId="4CCA4FC9" w14:textId="3934223D"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Safety</w:t>
            </w:r>
          </w:p>
          <w:p w14:paraId="465CA2E9" w14:textId="317BC699"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AE2A96C" w14:textId="610607B3"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Times New Roman"/>
                <w:color w:val="000000"/>
                <w:kern w:val="0"/>
                <w:lang w:eastAsia="en-CA"/>
                <w14:ligatures w14:val="none"/>
              </w:rPr>
              <w:t>responses to various accident scenarios, including but not limited to accident scenarios associated with the DGR on-site risks such as shaft failures, cage or container drops, equipment or other fires</w:t>
            </w:r>
          </w:p>
        </w:tc>
      </w:tr>
      <w:tr w:rsidR="004D711C" w:rsidRPr="004D711C" w14:paraId="065669CF" w14:textId="77777777" w:rsidTr="004D711C">
        <w:trPr>
          <w:trHeight w:val="310"/>
        </w:trPr>
        <w:tc>
          <w:tcPr>
            <w:tcW w:w="1560" w:type="dxa"/>
            <w:vMerge/>
            <w:tcBorders>
              <w:left w:val="nil"/>
              <w:right w:val="nil"/>
            </w:tcBorders>
            <w:noWrap/>
            <w:hideMark/>
          </w:tcPr>
          <w:p w14:paraId="1F70EC46" w14:textId="6D43601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A24F1A0"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a detailed discussion of various accident scenarios in each of the used fuel packaging plant and the deep geological repository </w:t>
            </w:r>
          </w:p>
        </w:tc>
      </w:tr>
      <w:tr w:rsidR="004D711C" w:rsidRPr="004D711C" w14:paraId="76601059" w14:textId="77777777" w:rsidTr="004D711C">
        <w:trPr>
          <w:trHeight w:val="310"/>
        </w:trPr>
        <w:tc>
          <w:tcPr>
            <w:tcW w:w="1560" w:type="dxa"/>
            <w:vMerge/>
            <w:tcBorders>
              <w:left w:val="nil"/>
              <w:right w:val="nil"/>
            </w:tcBorders>
            <w:noWrap/>
            <w:hideMark/>
          </w:tcPr>
          <w:p w14:paraId="3C25E624" w14:textId="3FCA6B6B"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4FAD8E9"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accidents and malfunctions </w:t>
            </w:r>
          </w:p>
        </w:tc>
      </w:tr>
      <w:tr w:rsidR="004D711C" w:rsidRPr="004D711C" w14:paraId="68F1A276" w14:textId="77777777" w:rsidTr="004D711C">
        <w:trPr>
          <w:trHeight w:val="310"/>
        </w:trPr>
        <w:tc>
          <w:tcPr>
            <w:tcW w:w="1560" w:type="dxa"/>
            <w:vMerge/>
            <w:tcBorders>
              <w:left w:val="nil"/>
              <w:right w:val="nil"/>
            </w:tcBorders>
            <w:noWrap/>
            <w:hideMark/>
          </w:tcPr>
          <w:p w14:paraId="5E601EE4" w14:textId="0D9FE3D1"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288DF4B6"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comprehensive map of all proposed safety, security, and exclusion zones </w:t>
            </w:r>
          </w:p>
        </w:tc>
      </w:tr>
      <w:tr w:rsidR="004D711C" w:rsidRPr="004D711C" w14:paraId="00AC6CC1" w14:textId="77777777" w:rsidTr="004D711C">
        <w:trPr>
          <w:trHeight w:val="310"/>
        </w:trPr>
        <w:tc>
          <w:tcPr>
            <w:tcW w:w="1560" w:type="dxa"/>
            <w:vMerge/>
            <w:tcBorders>
              <w:left w:val="nil"/>
              <w:right w:val="nil"/>
            </w:tcBorders>
            <w:noWrap/>
            <w:hideMark/>
          </w:tcPr>
          <w:p w14:paraId="18F2797D" w14:textId="3B49922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292B641D"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contingency planning and contingency plans and how they will be implemented during operations (for example, when the degree of rock fracturing is greater than anticipated) or describe  failure thresholds, i.e. what is the measure that will be used to determining that the fracturing is to such a degree that placement (of tunnels, placement arms or placement rooms) cannot proceed or how or when failure thresholds will be established prior to or during operation</w:t>
            </w:r>
          </w:p>
        </w:tc>
      </w:tr>
      <w:tr w:rsidR="004D711C" w:rsidRPr="004D711C" w14:paraId="7BB3C1BD" w14:textId="77777777" w:rsidTr="004D711C">
        <w:trPr>
          <w:trHeight w:val="310"/>
        </w:trPr>
        <w:tc>
          <w:tcPr>
            <w:tcW w:w="1560" w:type="dxa"/>
            <w:vMerge/>
            <w:tcBorders>
              <w:left w:val="nil"/>
              <w:right w:val="nil"/>
            </w:tcBorders>
            <w:noWrap/>
            <w:hideMark/>
          </w:tcPr>
          <w:p w14:paraId="71D4CEC6" w14:textId="382EC7C8"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C0D77A6"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emergency response and evacuation plans</w:t>
            </w:r>
          </w:p>
        </w:tc>
      </w:tr>
      <w:tr w:rsidR="004D711C" w:rsidRPr="004D711C" w14:paraId="104937D5" w14:textId="77777777" w:rsidTr="004D711C">
        <w:trPr>
          <w:trHeight w:val="310"/>
        </w:trPr>
        <w:tc>
          <w:tcPr>
            <w:tcW w:w="1560" w:type="dxa"/>
            <w:vMerge/>
            <w:tcBorders>
              <w:left w:val="nil"/>
              <w:right w:val="nil"/>
            </w:tcBorders>
            <w:noWrap/>
            <w:hideMark/>
          </w:tcPr>
          <w:p w14:paraId="6A76B356" w14:textId="796DD7DA"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6CAE1E7"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long-term safety, methods for the evaluation and demonstration of achieving and maintaining the long-term safety and repository performance</w:t>
            </w:r>
          </w:p>
        </w:tc>
      </w:tr>
      <w:tr w:rsidR="004D711C" w:rsidRPr="004D711C" w14:paraId="73F1ABB3" w14:textId="77777777" w:rsidTr="004D711C">
        <w:trPr>
          <w:trHeight w:val="310"/>
        </w:trPr>
        <w:tc>
          <w:tcPr>
            <w:tcW w:w="1560" w:type="dxa"/>
            <w:vMerge/>
            <w:tcBorders>
              <w:left w:val="nil"/>
              <w:right w:val="nil"/>
            </w:tcBorders>
            <w:noWrap/>
            <w:hideMark/>
          </w:tcPr>
          <w:p w14:paraId="63EFA2D8" w14:textId="0C4783E5"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B4728B5"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malevolent acts and related security risks and measures </w:t>
            </w:r>
          </w:p>
        </w:tc>
      </w:tr>
      <w:tr w:rsidR="004D711C" w:rsidRPr="004D711C" w14:paraId="633CDF48" w14:textId="77777777" w:rsidTr="004D711C">
        <w:trPr>
          <w:trHeight w:val="310"/>
        </w:trPr>
        <w:tc>
          <w:tcPr>
            <w:tcW w:w="1560" w:type="dxa"/>
            <w:vMerge/>
            <w:tcBorders>
              <w:left w:val="nil"/>
              <w:right w:val="nil"/>
            </w:tcBorders>
            <w:noWrap/>
            <w:hideMark/>
          </w:tcPr>
          <w:p w14:paraId="1954ED49" w14:textId="77A84A51"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A1FDBB7"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measures to protect workers in the underground environment; for example, information on refuge stations in the deep geological repository, is inadequate and is generic, i.e. does not specifically </w:t>
            </w:r>
            <w:r w:rsidRPr="004D711C">
              <w:rPr>
                <w:rFonts w:ascii="Times New Roman" w:eastAsia="Symbol" w:hAnsi="Times New Roman" w:cs="Symbol"/>
                <w:color w:val="000000"/>
                <w:kern w:val="0"/>
                <w:lang w:eastAsia="en-CA"/>
                <w14:ligatures w14:val="none"/>
              </w:rPr>
              <w:lastRenderedPageBreak/>
              <w:t>address risks to workers in a radiological environment and in the instance of upset conditions due to an unplanned radioactive release</w:t>
            </w:r>
          </w:p>
        </w:tc>
      </w:tr>
      <w:tr w:rsidR="004D711C" w:rsidRPr="004D711C" w14:paraId="2E41212C" w14:textId="77777777" w:rsidTr="004D711C">
        <w:trPr>
          <w:trHeight w:val="310"/>
        </w:trPr>
        <w:tc>
          <w:tcPr>
            <w:tcW w:w="1560" w:type="dxa"/>
            <w:vMerge/>
            <w:tcBorders>
              <w:left w:val="nil"/>
              <w:right w:val="nil"/>
            </w:tcBorders>
            <w:noWrap/>
            <w:hideMark/>
          </w:tcPr>
          <w:p w14:paraId="314ECB43" w14:textId="00DA10A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6D897B7" w14:textId="2D4D153B"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o</w:t>
            </w:r>
            <w:r w:rsidRPr="004D711C">
              <w:rPr>
                <w:rFonts w:ascii="Times New Roman" w:eastAsia="Symbol" w:hAnsi="Times New Roman" w:cs="Symbol"/>
                <w:color w:val="000000"/>
                <w:kern w:val="0"/>
                <w:lang w:eastAsia="en-CA"/>
                <w14:ligatures w14:val="none"/>
              </w:rPr>
              <w:t>n-site medical and emergency response facilities and personnel</w:t>
            </w:r>
          </w:p>
        </w:tc>
      </w:tr>
      <w:tr w:rsidR="004D711C" w:rsidRPr="004D711C" w14:paraId="677851CB" w14:textId="77777777" w:rsidTr="004D711C">
        <w:trPr>
          <w:trHeight w:val="310"/>
        </w:trPr>
        <w:tc>
          <w:tcPr>
            <w:tcW w:w="1560" w:type="dxa"/>
            <w:vMerge/>
            <w:tcBorders>
              <w:left w:val="nil"/>
              <w:right w:val="nil"/>
            </w:tcBorders>
            <w:noWrap/>
            <w:hideMark/>
          </w:tcPr>
          <w:p w14:paraId="13A258B9" w14:textId="2DAB0125"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56326C79"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potential upset conditions / unplanned radiological releases in both the used fuel packaging plant and the deep geological repository, including detailed descriptions of response scenarios,  including but not limited to worker access to refuge stations, time and conditions under which worker health and safety could be sustained in refuge stations, strategies for worker rescue or removal from refuge stations in instance of prolonged radiological contamination event in either Used Fuel Packaging Plan and  the Deep Geological Repository</w:t>
            </w:r>
          </w:p>
        </w:tc>
      </w:tr>
      <w:tr w:rsidR="004D711C" w:rsidRPr="004D711C" w14:paraId="4CB268F2" w14:textId="77777777" w:rsidTr="004D711C">
        <w:trPr>
          <w:trHeight w:val="310"/>
        </w:trPr>
        <w:tc>
          <w:tcPr>
            <w:tcW w:w="1560" w:type="dxa"/>
            <w:vMerge/>
            <w:tcBorders>
              <w:left w:val="nil"/>
              <w:right w:val="nil"/>
            </w:tcBorders>
            <w:noWrap/>
            <w:hideMark/>
          </w:tcPr>
          <w:p w14:paraId="0DE6D1E9" w14:textId="792CCD0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B0F801A" w14:textId="4E900140"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r</w:t>
            </w:r>
            <w:r w:rsidRPr="004D711C">
              <w:rPr>
                <w:rFonts w:ascii="Times New Roman" w:eastAsia="Symbol" w:hAnsi="Times New Roman" w:cs="Symbol"/>
                <w:color w:val="000000"/>
                <w:kern w:val="0"/>
                <w:lang w:eastAsia="en-CA"/>
                <w14:ligatures w14:val="none"/>
              </w:rPr>
              <w:t>esponses to sabotage and other malicious or malevolent acts, including from internal and external sources or actors</w:t>
            </w:r>
          </w:p>
        </w:tc>
      </w:tr>
      <w:tr w:rsidR="004D711C" w:rsidRPr="004D711C" w14:paraId="44491ACE" w14:textId="77777777" w:rsidTr="004D711C">
        <w:trPr>
          <w:trHeight w:val="310"/>
        </w:trPr>
        <w:tc>
          <w:tcPr>
            <w:tcW w:w="1560" w:type="dxa"/>
            <w:vMerge/>
            <w:tcBorders>
              <w:left w:val="nil"/>
              <w:bottom w:val="nil"/>
              <w:right w:val="nil"/>
            </w:tcBorders>
            <w:noWrap/>
            <w:hideMark/>
          </w:tcPr>
          <w:p w14:paraId="7370DD5C" w14:textId="66BF947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BE8FD45"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shielding and remote handling processes </w:t>
            </w:r>
          </w:p>
        </w:tc>
      </w:tr>
      <w:tr w:rsidR="004D711C" w:rsidRPr="004D711C" w14:paraId="29A3BF91" w14:textId="77777777" w:rsidTr="004D711C">
        <w:trPr>
          <w:trHeight w:val="310"/>
        </w:trPr>
        <w:tc>
          <w:tcPr>
            <w:tcW w:w="1560" w:type="dxa"/>
            <w:vMerge w:val="restart"/>
            <w:tcBorders>
              <w:top w:val="nil"/>
              <w:left w:val="nil"/>
              <w:right w:val="nil"/>
            </w:tcBorders>
            <w:noWrap/>
            <w:hideMark/>
          </w:tcPr>
          <w:p w14:paraId="62772499"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Security</w:t>
            </w:r>
          </w:p>
          <w:p w14:paraId="43962967" w14:textId="2C07F5C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72BF22B7" w14:textId="0463D5A9"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c</w:t>
            </w:r>
            <w:r w:rsidRPr="004D711C">
              <w:rPr>
                <w:rFonts w:ascii="Times New Roman" w:eastAsia="Symbol" w:hAnsi="Times New Roman" w:cs="Symbol"/>
                <w:color w:val="000000"/>
                <w:kern w:val="0"/>
                <w:lang w:eastAsia="en-CA"/>
                <w14:ligatures w14:val="none"/>
              </w:rPr>
              <w:t>lear delineation of the protected area relative to the project site, and a clear description of the security and protection measures that will be in place, including the use of armed securing</w:t>
            </w:r>
          </w:p>
        </w:tc>
      </w:tr>
      <w:tr w:rsidR="004D711C" w:rsidRPr="004D711C" w14:paraId="568411C1" w14:textId="77777777" w:rsidTr="004D711C">
        <w:trPr>
          <w:trHeight w:val="310"/>
        </w:trPr>
        <w:tc>
          <w:tcPr>
            <w:tcW w:w="1560" w:type="dxa"/>
            <w:vMerge/>
            <w:tcBorders>
              <w:left w:val="nil"/>
              <w:right w:val="nil"/>
            </w:tcBorders>
            <w:noWrap/>
            <w:hideMark/>
          </w:tcPr>
          <w:p w14:paraId="09F8E589" w14:textId="12550395"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2C8A73AA" w14:textId="2FB659FA"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m</w:t>
            </w:r>
            <w:r w:rsidRPr="004D711C">
              <w:rPr>
                <w:rFonts w:ascii="Times New Roman" w:eastAsia="Symbol" w:hAnsi="Times New Roman" w:cs="Symbol"/>
                <w:color w:val="000000"/>
                <w:kern w:val="0"/>
                <w:lang w:eastAsia="en-CA"/>
                <w14:ligatures w14:val="none"/>
              </w:rPr>
              <w:t xml:space="preserve">alevolent acts / Security risks and responses </w:t>
            </w:r>
          </w:p>
        </w:tc>
      </w:tr>
      <w:tr w:rsidR="004D711C" w:rsidRPr="004D711C" w14:paraId="4E7750A9" w14:textId="77777777" w:rsidTr="004D711C">
        <w:trPr>
          <w:trHeight w:val="310"/>
        </w:trPr>
        <w:tc>
          <w:tcPr>
            <w:tcW w:w="1560" w:type="dxa"/>
            <w:vMerge/>
            <w:tcBorders>
              <w:left w:val="nil"/>
              <w:bottom w:val="nil"/>
              <w:right w:val="nil"/>
            </w:tcBorders>
            <w:noWrap/>
            <w:hideMark/>
          </w:tcPr>
          <w:p w14:paraId="23AA0084" w14:textId="7F1C8C3F"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BE294E7" w14:textId="6EE3B072"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w:t>
            </w:r>
            <w:r w:rsidRPr="004D711C">
              <w:rPr>
                <w:rFonts w:ascii="Times New Roman" w:eastAsia="Symbol" w:hAnsi="Times New Roman" w:cs="Symbol"/>
                <w:color w:val="000000"/>
                <w:kern w:val="0"/>
                <w:lang w:eastAsia="en-CA"/>
                <w14:ligatures w14:val="none"/>
              </w:rPr>
              <w:t>ecurity forces or Nuclear Response Team (NRT) which will be on site, and a description of their tactical response operations and options, permission to carry and use firearms, their powers of arrest, and the range of their jurisdiction, i.e. spatial reach; the description should include their training, qualifications and chain of command and reporting ladder</w:t>
            </w:r>
          </w:p>
        </w:tc>
      </w:tr>
      <w:tr w:rsidR="004D711C" w:rsidRPr="004D711C" w14:paraId="76425EF5" w14:textId="77777777" w:rsidTr="004D711C">
        <w:trPr>
          <w:trHeight w:val="310"/>
        </w:trPr>
        <w:tc>
          <w:tcPr>
            <w:tcW w:w="1560" w:type="dxa"/>
            <w:vMerge w:val="restart"/>
            <w:tcBorders>
              <w:top w:val="nil"/>
              <w:left w:val="nil"/>
              <w:right w:val="nil"/>
            </w:tcBorders>
            <w:noWrap/>
            <w:hideMark/>
          </w:tcPr>
          <w:p w14:paraId="4E25B6FC" w14:textId="1CFBCDE0"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Social</w:t>
            </w:r>
          </w:p>
          <w:p w14:paraId="525E4F11" w14:textId="40166FF8"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70C19B1"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disruptions to recreational land use, community safety, food security, access to country food, tourism opportunities </w:t>
            </w:r>
          </w:p>
        </w:tc>
      </w:tr>
      <w:tr w:rsidR="004D711C" w:rsidRPr="004D711C" w14:paraId="7D72A919" w14:textId="77777777" w:rsidTr="004D711C">
        <w:trPr>
          <w:trHeight w:val="310"/>
        </w:trPr>
        <w:tc>
          <w:tcPr>
            <w:tcW w:w="1560" w:type="dxa"/>
            <w:vMerge/>
            <w:tcBorders>
              <w:left w:val="nil"/>
              <w:right w:val="nil"/>
            </w:tcBorders>
            <w:noWrap/>
            <w:hideMark/>
          </w:tcPr>
          <w:p w14:paraId="6B41DE07" w14:textId="1F31A222"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58EFAAA7"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impacts on access to area for collection of country food and other non-timber forest products</w:t>
            </w:r>
          </w:p>
        </w:tc>
      </w:tr>
      <w:tr w:rsidR="004D711C" w:rsidRPr="004D711C" w14:paraId="71FC4345" w14:textId="77777777" w:rsidTr="004D711C">
        <w:trPr>
          <w:trHeight w:val="310"/>
        </w:trPr>
        <w:tc>
          <w:tcPr>
            <w:tcW w:w="1560" w:type="dxa"/>
            <w:vMerge/>
            <w:tcBorders>
              <w:left w:val="nil"/>
              <w:right w:val="nil"/>
            </w:tcBorders>
            <w:noWrap/>
            <w:hideMark/>
          </w:tcPr>
          <w:p w14:paraId="0F642516" w14:textId="31FCD93F"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FEF7F88" w14:textId="660DE43F"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property values</w:t>
            </w:r>
            <w:r w:rsidR="00CC61BA">
              <w:rPr>
                <w:rFonts w:ascii="Times New Roman" w:eastAsia="Symbol" w:hAnsi="Times New Roman" w:cs="Symbol"/>
                <w:color w:val="000000"/>
                <w:kern w:val="0"/>
                <w:lang w:eastAsia="en-CA"/>
                <w14:ligatures w14:val="none"/>
              </w:rPr>
              <w:t xml:space="preserve"> and </w:t>
            </w:r>
            <w:r w:rsidR="00CC61BA" w:rsidRPr="004D711C">
              <w:rPr>
                <w:rFonts w:ascii="Times New Roman" w:eastAsia="Symbol" w:hAnsi="Times New Roman" w:cs="Symbol"/>
                <w:color w:val="000000"/>
                <w:kern w:val="0"/>
                <w:lang w:eastAsia="en-CA"/>
                <w14:ligatures w14:val="none"/>
              </w:rPr>
              <w:t>property value protection guarantees for area homeowners</w:t>
            </w:r>
          </w:p>
        </w:tc>
      </w:tr>
      <w:tr w:rsidR="004D711C" w:rsidRPr="004D711C" w14:paraId="385E41A7" w14:textId="77777777" w:rsidTr="004D711C">
        <w:trPr>
          <w:trHeight w:val="310"/>
        </w:trPr>
        <w:tc>
          <w:tcPr>
            <w:tcW w:w="1560" w:type="dxa"/>
            <w:vMerge/>
            <w:tcBorders>
              <w:left w:val="nil"/>
              <w:right w:val="nil"/>
            </w:tcBorders>
            <w:noWrap/>
            <w:hideMark/>
          </w:tcPr>
          <w:p w14:paraId="75AD971D" w14:textId="28E795EC"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F8B26DA"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site selection issues, including related to criteria, consultation, community identification, and consent and site characterization and technical basis for site selection</w:t>
            </w:r>
          </w:p>
        </w:tc>
      </w:tr>
      <w:tr w:rsidR="004D711C" w:rsidRPr="004D711C" w14:paraId="002633BD" w14:textId="77777777" w:rsidTr="004D711C">
        <w:trPr>
          <w:trHeight w:val="310"/>
        </w:trPr>
        <w:tc>
          <w:tcPr>
            <w:tcW w:w="1560" w:type="dxa"/>
            <w:vMerge/>
            <w:tcBorders>
              <w:left w:val="nil"/>
              <w:right w:val="nil"/>
            </w:tcBorders>
            <w:noWrap/>
            <w:hideMark/>
          </w:tcPr>
          <w:p w14:paraId="13096FF3" w14:textId="10A1F96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C186D4E"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social division, nuclear anxiety, stigma effect of having a nuclear project imposed on our area, and effects on property values</w:t>
            </w:r>
          </w:p>
        </w:tc>
      </w:tr>
      <w:tr w:rsidR="004D711C" w:rsidRPr="004D711C" w14:paraId="155F5EAE" w14:textId="77777777" w:rsidTr="004D711C">
        <w:trPr>
          <w:trHeight w:val="310"/>
        </w:trPr>
        <w:tc>
          <w:tcPr>
            <w:tcW w:w="1560" w:type="dxa"/>
            <w:vMerge/>
            <w:tcBorders>
              <w:left w:val="nil"/>
              <w:right w:val="nil"/>
            </w:tcBorders>
            <w:noWrap/>
            <w:hideMark/>
          </w:tcPr>
          <w:p w14:paraId="549B8A70" w14:textId="692FDAEF"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6E1ACE0B" w14:textId="5B4E3A99"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description of the site selection process, relationship between site selection process and the community experience during site selection and current and anticipated social conditions</w:t>
            </w:r>
          </w:p>
        </w:tc>
      </w:tr>
      <w:tr w:rsidR="004D711C" w:rsidRPr="004D711C" w14:paraId="76EE7A98" w14:textId="77777777" w:rsidTr="004D711C">
        <w:trPr>
          <w:trHeight w:val="310"/>
        </w:trPr>
        <w:tc>
          <w:tcPr>
            <w:tcW w:w="1560" w:type="dxa"/>
            <w:vMerge/>
            <w:tcBorders>
              <w:left w:val="nil"/>
              <w:bottom w:val="nil"/>
              <w:right w:val="nil"/>
            </w:tcBorders>
            <w:noWrap/>
            <w:hideMark/>
          </w:tcPr>
          <w:p w14:paraId="06BFF53B" w14:textId="46489E8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0D2F9EDF"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traffic and Noise and related mitigation measures for nearest residents</w:t>
            </w:r>
          </w:p>
        </w:tc>
      </w:tr>
      <w:tr w:rsidR="004D711C" w:rsidRPr="004D711C" w14:paraId="5C0ADF04" w14:textId="77777777" w:rsidTr="004D711C">
        <w:trPr>
          <w:trHeight w:val="310"/>
        </w:trPr>
        <w:tc>
          <w:tcPr>
            <w:tcW w:w="1560" w:type="dxa"/>
            <w:vMerge w:val="restart"/>
            <w:tcBorders>
              <w:top w:val="nil"/>
              <w:left w:val="nil"/>
              <w:right w:val="nil"/>
            </w:tcBorders>
            <w:noWrap/>
            <w:hideMark/>
          </w:tcPr>
          <w:p w14:paraId="5C200C05"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Transportation</w:t>
            </w:r>
          </w:p>
          <w:p w14:paraId="35E21227" w14:textId="46C67A21"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CDF429A" w14:textId="4FB31992" w:rsidR="004D711C" w:rsidRPr="004D711C" w:rsidRDefault="0065609F"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65609F">
              <w:rPr>
                <w:rFonts w:ascii="Times New Roman" w:eastAsia="Times New Roman" w:hAnsi="Times New Roman" w:cs="Times New Roman"/>
                <w:color w:val="000000"/>
                <w:kern w:val="0"/>
                <w:lang w:eastAsia="en-CA"/>
                <w14:ligatures w14:val="none"/>
              </w:rPr>
              <w:t xml:space="preserve">transportation related exposures to radioactivity </w:t>
            </w:r>
          </w:p>
        </w:tc>
      </w:tr>
      <w:tr w:rsidR="0065609F" w:rsidRPr="004D711C" w14:paraId="4FF5B4E0" w14:textId="77777777" w:rsidTr="004D711C">
        <w:trPr>
          <w:trHeight w:val="310"/>
        </w:trPr>
        <w:tc>
          <w:tcPr>
            <w:tcW w:w="1560" w:type="dxa"/>
            <w:vMerge/>
            <w:tcBorders>
              <w:left w:val="nil"/>
              <w:right w:val="nil"/>
            </w:tcBorders>
            <w:noWrap/>
          </w:tcPr>
          <w:p w14:paraId="3C6F533F" w14:textId="77777777" w:rsidR="0065609F" w:rsidRPr="004D711C" w:rsidRDefault="0065609F"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15D9649E" w14:textId="6DF15807" w:rsidR="0065609F" w:rsidRPr="004D711C" w:rsidRDefault="0065609F"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65609F">
              <w:rPr>
                <w:rFonts w:ascii="Times New Roman" w:eastAsia="Times New Roman" w:hAnsi="Times New Roman" w:cs="Times New Roman"/>
                <w:color w:val="000000"/>
                <w:kern w:val="0"/>
                <w:lang w:eastAsia="en-CA"/>
                <w14:ligatures w14:val="none"/>
              </w:rPr>
              <w:t xml:space="preserve">design and safety testing of the transportation containers, </w:t>
            </w:r>
          </w:p>
        </w:tc>
      </w:tr>
      <w:tr w:rsidR="0065609F" w:rsidRPr="004D711C" w14:paraId="2F03EEA0" w14:textId="77777777" w:rsidTr="004D711C">
        <w:trPr>
          <w:trHeight w:val="310"/>
        </w:trPr>
        <w:tc>
          <w:tcPr>
            <w:tcW w:w="1560" w:type="dxa"/>
            <w:vMerge/>
            <w:tcBorders>
              <w:left w:val="nil"/>
              <w:right w:val="nil"/>
            </w:tcBorders>
            <w:noWrap/>
          </w:tcPr>
          <w:p w14:paraId="34F38991" w14:textId="77777777" w:rsidR="0065609F" w:rsidRPr="004D711C" w:rsidRDefault="0065609F"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7DF15983" w14:textId="2E0E5696" w:rsidR="0065609F" w:rsidRPr="004D711C" w:rsidRDefault="0065609F"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65609F">
              <w:rPr>
                <w:rFonts w:ascii="Times New Roman" w:eastAsia="Times New Roman" w:hAnsi="Times New Roman" w:cs="Times New Roman"/>
                <w:color w:val="000000"/>
                <w:kern w:val="0"/>
                <w:lang w:eastAsia="en-CA"/>
                <w14:ligatures w14:val="none"/>
              </w:rPr>
              <w:t>emergency response</w:t>
            </w:r>
            <w:r>
              <w:rPr>
                <w:rFonts w:ascii="Times New Roman" w:eastAsia="Times New Roman" w:hAnsi="Times New Roman" w:cs="Times New Roman"/>
                <w:color w:val="000000"/>
                <w:kern w:val="0"/>
                <w:lang w:eastAsia="en-CA"/>
                <w14:ligatures w14:val="none"/>
              </w:rPr>
              <w:t xml:space="preserve"> and </w:t>
            </w:r>
            <w:r w:rsidRPr="0065609F">
              <w:rPr>
                <w:rFonts w:ascii="Times New Roman" w:eastAsia="Times New Roman" w:hAnsi="Times New Roman" w:cs="Times New Roman"/>
                <w:color w:val="000000"/>
                <w:kern w:val="0"/>
                <w:lang w:eastAsia="en-CA"/>
                <w14:ligatures w14:val="none"/>
              </w:rPr>
              <w:t>support for First Responders</w:t>
            </w:r>
          </w:p>
        </w:tc>
      </w:tr>
      <w:tr w:rsidR="0065609F" w:rsidRPr="004D711C" w14:paraId="2DCEC990" w14:textId="77777777" w:rsidTr="004D711C">
        <w:trPr>
          <w:trHeight w:val="310"/>
        </w:trPr>
        <w:tc>
          <w:tcPr>
            <w:tcW w:w="1560" w:type="dxa"/>
            <w:vMerge/>
            <w:tcBorders>
              <w:left w:val="nil"/>
              <w:right w:val="nil"/>
            </w:tcBorders>
            <w:noWrap/>
          </w:tcPr>
          <w:p w14:paraId="2E430EB5" w14:textId="77777777" w:rsidR="0065609F" w:rsidRPr="004D711C" w:rsidRDefault="0065609F"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5D9810F1" w14:textId="65EC25F8" w:rsidR="0065609F" w:rsidRPr="004D711C" w:rsidRDefault="0065609F"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65609F">
              <w:rPr>
                <w:rFonts w:ascii="Times New Roman" w:eastAsia="Times New Roman" w:hAnsi="Times New Roman" w:cs="Times New Roman"/>
                <w:color w:val="000000"/>
                <w:kern w:val="0"/>
                <w:lang w:eastAsia="en-CA"/>
                <w14:ligatures w14:val="none"/>
              </w:rPr>
              <w:t>route selection, and notifications to local authorities.</w:t>
            </w:r>
          </w:p>
        </w:tc>
      </w:tr>
      <w:tr w:rsidR="00CC61BA" w:rsidRPr="004D711C" w14:paraId="0DD6B4B1" w14:textId="77777777" w:rsidTr="004D711C">
        <w:trPr>
          <w:trHeight w:val="310"/>
        </w:trPr>
        <w:tc>
          <w:tcPr>
            <w:tcW w:w="1560" w:type="dxa"/>
            <w:vMerge/>
            <w:tcBorders>
              <w:left w:val="nil"/>
              <w:right w:val="nil"/>
            </w:tcBorders>
            <w:noWrap/>
          </w:tcPr>
          <w:p w14:paraId="0F2CD05B" w14:textId="77777777" w:rsidR="00CC61BA" w:rsidRPr="004D711C" w:rsidRDefault="00CC61BA"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tcPr>
          <w:p w14:paraId="4541F166" w14:textId="5CB4EECF" w:rsidR="00CC61BA" w:rsidRPr="004D711C" w:rsidRDefault="00CC61BA" w:rsidP="004D711C">
            <w:pPr>
              <w:pStyle w:val="ListParagraph"/>
              <w:numPr>
                <w:ilvl w:val="0"/>
                <w:numId w:val="1"/>
              </w:numPr>
              <w:spacing w:after="0" w:line="240" w:lineRule="auto"/>
              <w:rPr>
                <w:rFonts w:ascii="Times New Roman" w:eastAsia="Symbol" w:hAnsi="Times New Roman" w:cs="Symbol"/>
                <w:color w:val="000000"/>
                <w:kern w:val="0"/>
                <w:lang w:eastAsia="en-CA"/>
                <w14:ligatures w14:val="none"/>
              </w:rPr>
            </w:pPr>
            <w:r w:rsidRPr="004D711C">
              <w:rPr>
                <w:rFonts w:ascii="Times New Roman" w:eastAsia="Symbol" w:hAnsi="Times New Roman" w:cs="Symbol"/>
                <w:color w:val="000000"/>
                <w:kern w:val="0"/>
                <w:lang w:eastAsia="en-CA"/>
                <w14:ligatures w14:val="none"/>
              </w:rPr>
              <w:t>high occurrence of accidents involving transports (semi’s) on this section of road, the percentage of a hazardous nuclear accident is increased.</w:t>
            </w:r>
          </w:p>
        </w:tc>
      </w:tr>
      <w:tr w:rsidR="004D711C" w:rsidRPr="004D711C" w14:paraId="1C4322CE" w14:textId="77777777" w:rsidTr="004D711C">
        <w:trPr>
          <w:trHeight w:val="310"/>
        </w:trPr>
        <w:tc>
          <w:tcPr>
            <w:tcW w:w="1560" w:type="dxa"/>
            <w:vMerge/>
            <w:tcBorders>
              <w:left w:val="nil"/>
              <w:right w:val="nil"/>
            </w:tcBorders>
            <w:noWrap/>
            <w:hideMark/>
          </w:tcPr>
          <w:p w14:paraId="281A8AD3" w14:textId="33B905CB"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D4C897C" w14:textId="2D75CD88"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h</w:t>
            </w:r>
            <w:r w:rsidRPr="004D711C">
              <w:rPr>
                <w:rFonts w:ascii="Times New Roman" w:eastAsia="Symbol" w:hAnsi="Times New Roman" w:cs="Symbol"/>
                <w:color w:val="000000"/>
                <w:kern w:val="0"/>
                <w:lang w:eastAsia="en-CA"/>
                <w14:ligatures w14:val="none"/>
              </w:rPr>
              <w:t xml:space="preserve">ighway closures </w:t>
            </w:r>
            <w:r w:rsidR="0065609F">
              <w:rPr>
                <w:rFonts w:ascii="Times New Roman" w:eastAsia="Symbol" w:hAnsi="Times New Roman" w:cs="Symbol"/>
                <w:color w:val="000000"/>
                <w:kern w:val="0"/>
                <w:lang w:eastAsia="en-CA"/>
                <w14:ligatures w14:val="none"/>
              </w:rPr>
              <w:t>and effects on route alterations, length of time in transport</w:t>
            </w:r>
          </w:p>
        </w:tc>
      </w:tr>
      <w:tr w:rsidR="004D711C" w:rsidRPr="004D711C" w14:paraId="5C2828CD" w14:textId="77777777" w:rsidTr="004D711C">
        <w:trPr>
          <w:trHeight w:val="310"/>
        </w:trPr>
        <w:tc>
          <w:tcPr>
            <w:tcW w:w="1560" w:type="dxa"/>
            <w:vMerge/>
            <w:tcBorders>
              <w:left w:val="nil"/>
              <w:bottom w:val="nil"/>
              <w:right w:val="nil"/>
            </w:tcBorders>
            <w:noWrap/>
            <w:hideMark/>
          </w:tcPr>
          <w:p w14:paraId="569AFA9F" w14:textId="2DDDB7B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128D9209"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 xml:space="preserve">long-distance transportation </w:t>
            </w:r>
          </w:p>
        </w:tc>
      </w:tr>
      <w:tr w:rsidR="004D711C" w:rsidRPr="004D711C" w14:paraId="42FF6633" w14:textId="77777777" w:rsidTr="004D711C">
        <w:trPr>
          <w:trHeight w:val="310"/>
        </w:trPr>
        <w:tc>
          <w:tcPr>
            <w:tcW w:w="1560" w:type="dxa"/>
            <w:vMerge w:val="restart"/>
            <w:tcBorders>
              <w:top w:val="nil"/>
              <w:left w:val="nil"/>
              <w:right w:val="nil"/>
            </w:tcBorders>
            <w:noWrap/>
            <w:hideMark/>
          </w:tcPr>
          <w:p w14:paraId="252104C3" w14:textId="77777777"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r w:rsidRPr="004D711C">
              <w:rPr>
                <w:rFonts w:ascii="Aptos Narrow" w:eastAsia="Times New Roman" w:hAnsi="Aptos Narrow" w:cs="Times New Roman"/>
                <w:b/>
                <w:bCs/>
                <w:color w:val="000000"/>
                <w:kern w:val="0"/>
                <w:sz w:val="22"/>
                <w:szCs w:val="22"/>
                <w:lang w:eastAsia="en-CA"/>
                <w14:ligatures w14:val="none"/>
              </w:rPr>
              <w:t>Waste</w:t>
            </w:r>
          </w:p>
          <w:p w14:paraId="0BB22FE5" w14:textId="6C62C883"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4DE41B7D" w14:textId="0FCE6725"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fuel waste inventory and forecast, including rational for different scenarios / volumes, including description of waste characteristics, dimensions, etc.</w:t>
            </w:r>
          </w:p>
        </w:tc>
      </w:tr>
      <w:tr w:rsidR="004D711C" w:rsidRPr="004D711C" w14:paraId="21FC5620" w14:textId="77777777" w:rsidTr="004D711C">
        <w:trPr>
          <w:trHeight w:val="310"/>
        </w:trPr>
        <w:tc>
          <w:tcPr>
            <w:tcW w:w="1560" w:type="dxa"/>
            <w:vMerge/>
            <w:tcBorders>
              <w:left w:val="nil"/>
              <w:bottom w:val="nil"/>
              <w:right w:val="nil"/>
            </w:tcBorders>
            <w:noWrap/>
            <w:hideMark/>
          </w:tcPr>
          <w:p w14:paraId="5B00798F" w14:textId="5E20A32E" w:rsidR="004D711C" w:rsidRPr="004D711C" w:rsidRDefault="004D711C" w:rsidP="004D711C">
            <w:pPr>
              <w:spacing w:after="0" w:line="240" w:lineRule="auto"/>
              <w:rPr>
                <w:rFonts w:ascii="Aptos Narrow" w:eastAsia="Times New Roman" w:hAnsi="Aptos Narrow" w:cs="Times New Roman"/>
                <w:b/>
                <w:bCs/>
                <w:color w:val="000000"/>
                <w:kern w:val="0"/>
                <w:sz w:val="22"/>
                <w:szCs w:val="22"/>
                <w:lang w:eastAsia="en-CA"/>
                <w14:ligatures w14:val="none"/>
              </w:rPr>
            </w:pPr>
          </w:p>
        </w:tc>
        <w:tc>
          <w:tcPr>
            <w:tcW w:w="7800" w:type="dxa"/>
            <w:tcBorders>
              <w:top w:val="nil"/>
              <w:left w:val="nil"/>
              <w:bottom w:val="nil"/>
              <w:right w:val="nil"/>
            </w:tcBorders>
            <w:noWrap/>
            <w:vAlign w:val="center"/>
            <w:hideMark/>
          </w:tcPr>
          <w:p w14:paraId="3C444448" w14:textId="77777777" w:rsidR="004D711C" w:rsidRPr="004D711C" w:rsidRDefault="004D711C" w:rsidP="004D711C">
            <w:pPr>
              <w:pStyle w:val="ListParagraph"/>
              <w:numPr>
                <w:ilvl w:val="0"/>
                <w:numId w:val="1"/>
              </w:numPr>
              <w:spacing w:after="0" w:line="240" w:lineRule="auto"/>
              <w:rPr>
                <w:rFonts w:ascii="Times New Roman" w:eastAsia="Times New Roman" w:hAnsi="Times New Roman" w:cs="Times New Roman"/>
                <w:color w:val="000000"/>
                <w:kern w:val="0"/>
                <w:lang w:eastAsia="en-CA"/>
                <w14:ligatures w14:val="none"/>
              </w:rPr>
            </w:pPr>
            <w:r w:rsidRPr="004D711C">
              <w:rPr>
                <w:rFonts w:ascii="Times New Roman" w:eastAsia="Symbol" w:hAnsi="Times New Roman" w:cs="Symbol"/>
                <w:color w:val="000000"/>
                <w:kern w:val="0"/>
                <w:lang w:eastAsia="en-CA"/>
                <w14:ligatures w14:val="none"/>
              </w:rPr>
              <w:t>liquid and solid low and intermediate level radioactive wastes that will be generated, including volumes, characteristics and management plan</w:t>
            </w:r>
          </w:p>
        </w:tc>
      </w:tr>
    </w:tbl>
    <w:p w14:paraId="09396CEA" w14:textId="77777777" w:rsidR="004D711C" w:rsidRDefault="004D711C"/>
    <w:sectPr w:rsidR="004D711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EC306" w14:textId="77777777" w:rsidR="00EE1F66" w:rsidRDefault="00EE1F66" w:rsidP="00A322ED">
      <w:pPr>
        <w:spacing w:after="0" w:line="240" w:lineRule="auto"/>
      </w:pPr>
      <w:r>
        <w:separator/>
      </w:r>
    </w:p>
  </w:endnote>
  <w:endnote w:type="continuationSeparator" w:id="0">
    <w:p w14:paraId="13DEBD3F" w14:textId="77777777" w:rsidR="00EE1F66" w:rsidRDefault="00EE1F66" w:rsidP="00A32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64870" w14:textId="77777777" w:rsidR="00EE1F66" w:rsidRDefault="00EE1F66" w:rsidP="00A322ED">
      <w:pPr>
        <w:spacing w:after="0" w:line="240" w:lineRule="auto"/>
      </w:pPr>
      <w:r>
        <w:separator/>
      </w:r>
    </w:p>
  </w:footnote>
  <w:footnote w:type="continuationSeparator" w:id="0">
    <w:p w14:paraId="32F5F36E" w14:textId="77777777" w:rsidR="00EE1F66" w:rsidRDefault="00EE1F66" w:rsidP="00A322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05545"/>
    <w:multiLevelType w:val="hybridMultilevel"/>
    <w:tmpl w:val="13A2B5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86029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11C"/>
    <w:rsid w:val="004D711C"/>
    <w:rsid w:val="00502E20"/>
    <w:rsid w:val="0065609F"/>
    <w:rsid w:val="00A322ED"/>
    <w:rsid w:val="00CC61BA"/>
    <w:rsid w:val="00EE1F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411A1"/>
  <w15:chartTrackingRefBased/>
  <w15:docId w15:val="{6AB3E418-985F-4632-810C-59A1D7D82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71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71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71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71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71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71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71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71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71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71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71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71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71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71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71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71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71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711C"/>
    <w:rPr>
      <w:rFonts w:eastAsiaTheme="majorEastAsia" w:cstheme="majorBidi"/>
      <w:color w:val="272727" w:themeColor="text1" w:themeTint="D8"/>
    </w:rPr>
  </w:style>
  <w:style w:type="paragraph" w:styleId="Title">
    <w:name w:val="Title"/>
    <w:basedOn w:val="Normal"/>
    <w:next w:val="Normal"/>
    <w:link w:val="TitleChar"/>
    <w:uiPriority w:val="10"/>
    <w:qFormat/>
    <w:rsid w:val="004D71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1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71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71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711C"/>
    <w:pPr>
      <w:spacing w:before="160"/>
      <w:jc w:val="center"/>
    </w:pPr>
    <w:rPr>
      <w:i/>
      <w:iCs/>
      <w:color w:val="404040" w:themeColor="text1" w:themeTint="BF"/>
    </w:rPr>
  </w:style>
  <w:style w:type="character" w:customStyle="1" w:styleId="QuoteChar">
    <w:name w:val="Quote Char"/>
    <w:basedOn w:val="DefaultParagraphFont"/>
    <w:link w:val="Quote"/>
    <w:uiPriority w:val="29"/>
    <w:rsid w:val="004D711C"/>
    <w:rPr>
      <w:i/>
      <w:iCs/>
      <w:color w:val="404040" w:themeColor="text1" w:themeTint="BF"/>
    </w:rPr>
  </w:style>
  <w:style w:type="paragraph" w:styleId="ListParagraph">
    <w:name w:val="List Paragraph"/>
    <w:basedOn w:val="Normal"/>
    <w:uiPriority w:val="34"/>
    <w:qFormat/>
    <w:rsid w:val="004D711C"/>
    <w:pPr>
      <w:ind w:left="720"/>
      <w:contextualSpacing/>
    </w:pPr>
  </w:style>
  <w:style w:type="character" w:styleId="IntenseEmphasis">
    <w:name w:val="Intense Emphasis"/>
    <w:basedOn w:val="DefaultParagraphFont"/>
    <w:uiPriority w:val="21"/>
    <w:qFormat/>
    <w:rsid w:val="004D711C"/>
    <w:rPr>
      <w:i/>
      <w:iCs/>
      <w:color w:val="0F4761" w:themeColor="accent1" w:themeShade="BF"/>
    </w:rPr>
  </w:style>
  <w:style w:type="paragraph" w:styleId="IntenseQuote">
    <w:name w:val="Intense Quote"/>
    <w:basedOn w:val="Normal"/>
    <w:next w:val="Normal"/>
    <w:link w:val="IntenseQuoteChar"/>
    <w:uiPriority w:val="30"/>
    <w:qFormat/>
    <w:rsid w:val="004D71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711C"/>
    <w:rPr>
      <w:i/>
      <w:iCs/>
      <w:color w:val="0F4761" w:themeColor="accent1" w:themeShade="BF"/>
    </w:rPr>
  </w:style>
  <w:style w:type="character" w:styleId="IntenseReference">
    <w:name w:val="Intense Reference"/>
    <w:basedOn w:val="DefaultParagraphFont"/>
    <w:uiPriority w:val="32"/>
    <w:qFormat/>
    <w:rsid w:val="004D711C"/>
    <w:rPr>
      <w:b/>
      <w:bCs/>
      <w:smallCaps/>
      <w:color w:val="0F4761" w:themeColor="accent1" w:themeShade="BF"/>
      <w:spacing w:val="5"/>
    </w:rPr>
  </w:style>
  <w:style w:type="paragraph" w:styleId="Header">
    <w:name w:val="header"/>
    <w:basedOn w:val="Normal"/>
    <w:link w:val="HeaderChar"/>
    <w:uiPriority w:val="99"/>
    <w:unhideWhenUsed/>
    <w:rsid w:val="00A322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22ED"/>
  </w:style>
  <w:style w:type="paragraph" w:styleId="Footer">
    <w:name w:val="footer"/>
    <w:basedOn w:val="Normal"/>
    <w:link w:val="FooterChar"/>
    <w:uiPriority w:val="99"/>
    <w:unhideWhenUsed/>
    <w:rsid w:val="00A322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22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1514</Words>
  <Characters>9101</Characters>
  <Application>Microsoft Office Word</Application>
  <DocSecurity>0</DocSecurity>
  <Lines>137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Brennain Lloyd</dc:creator>
  <cp:keywords/>
  <dc:description/>
  <cp:lastModifiedBy>Brennain Lloyd</cp:lastModifiedBy>
  <cp:revision>2</cp:revision>
  <dcterms:created xsi:type="dcterms:W3CDTF">2026-05-02T01:06:00Z</dcterms:created>
  <dcterms:modified xsi:type="dcterms:W3CDTF">2026-05-02T01:31:00Z</dcterms:modified>
</cp:coreProperties>
</file>